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CAE" w:rsidRDefault="006F6CAE" w:rsidP="006F6CAE">
      <w:pPr>
        <w:pStyle w:val="a7"/>
        <w:shd w:val="clear" w:color="auto" w:fill="FFFFFF"/>
        <w:spacing w:before="0" w:beforeAutospacing="0" w:after="0" w:afterAutospacing="0"/>
        <w:jc w:val="center"/>
        <w:rPr>
          <w:color w:val="333333"/>
        </w:rPr>
      </w:pPr>
      <w:r>
        <w:rPr>
          <w:rFonts w:hint="eastAsia"/>
          <w:b/>
          <w:bCs/>
          <w:color w:val="333333"/>
          <w:sz w:val="36"/>
          <w:szCs w:val="36"/>
        </w:rPr>
        <w:t>国务院关于优化科研管理</w:t>
      </w:r>
    </w:p>
    <w:p w:rsidR="006F6CAE" w:rsidRDefault="006F6CAE" w:rsidP="006F6CAE">
      <w:pPr>
        <w:pStyle w:val="a7"/>
        <w:shd w:val="clear" w:color="auto" w:fill="FFFFFF"/>
        <w:spacing w:before="0" w:beforeAutospacing="0" w:after="0" w:afterAutospacing="0"/>
        <w:jc w:val="center"/>
        <w:rPr>
          <w:rFonts w:hint="eastAsia"/>
          <w:color w:val="333333"/>
        </w:rPr>
      </w:pPr>
      <w:r>
        <w:rPr>
          <w:rFonts w:hint="eastAsia"/>
          <w:b/>
          <w:bCs/>
          <w:color w:val="333333"/>
          <w:sz w:val="36"/>
          <w:szCs w:val="36"/>
        </w:rPr>
        <w:t>提升科研绩效若干措施的通知</w:t>
      </w:r>
    </w:p>
    <w:p w:rsidR="006F6CAE" w:rsidRDefault="006F6CAE" w:rsidP="006F6CAE">
      <w:pPr>
        <w:pStyle w:val="a7"/>
        <w:shd w:val="clear" w:color="auto" w:fill="FFFFFF"/>
        <w:spacing w:before="0" w:beforeAutospacing="0" w:after="0" w:afterAutospacing="0"/>
        <w:jc w:val="center"/>
        <w:rPr>
          <w:rFonts w:hint="eastAsia"/>
          <w:color w:val="333333"/>
        </w:rPr>
      </w:pPr>
      <w:r>
        <w:rPr>
          <w:rFonts w:ascii="楷体" w:eastAsia="楷体" w:hAnsi="楷体" w:hint="eastAsia"/>
          <w:color w:val="333333"/>
        </w:rPr>
        <w:t>国发〔2018〕25号</w:t>
      </w:r>
    </w:p>
    <w:p w:rsidR="006F6CAE" w:rsidRDefault="006F6CAE" w:rsidP="006F6CAE">
      <w:pPr>
        <w:pStyle w:val="a7"/>
        <w:shd w:val="clear" w:color="auto" w:fill="FFFFFF"/>
        <w:spacing w:before="0" w:beforeAutospacing="0" w:after="0" w:afterAutospacing="0"/>
        <w:jc w:val="center"/>
        <w:rPr>
          <w:rFonts w:hint="eastAsia"/>
          <w:color w:val="333333"/>
        </w:rPr>
      </w:pPr>
    </w:p>
    <w:p w:rsidR="006F6CAE" w:rsidRDefault="006F6CAE" w:rsidP="006F6CAE">
      <w:pPr>
        <w:pStyle w:val="a7"/>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color w:val="333333"/>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作出更大贡献，现就有关事项通知如下：</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b/>
          <w:bCs/>
          <w:color w:val="333333"/>
        </w:rPr>
        <w:t>一、优化科研项目和经费管理</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（一）简化科研项目申报和过程管理。</w:t>
      </w:r>
      <w:r>
        <w:rPr>
          <w:rFonts w:hint="eastAsia"/>
          <w:color w:val="333333"/>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（二）合并财务验收和技术验收。</w:t>
      </w:r>
      <w:r>
        <w:rPr>
          <w:rFonts w:hint="eastAsia"/>
          <w:color w:val="333333"/>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（三）推行“材料一次报送”制度。</w:t>
      </w:r>
      <w:r>
        <w:rPr>
          <w:rFonts w:hint="eastAsia"/>
          <w:color w:val="333333"/>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（四）赋予科研人员更大技术路线决策权。</w:t>
      </w:r>
      <w:r>
        <w:rPr>
          <w:rFonts w:hint="eastAsia"/>
          <w:color w:val="333333"/>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（五）赋予科研单位科研项目经费管理使用自主权。</w:t>
      </w:r>
      <w:r>
        <w:rPr>
          <w:rFonts w:hint="eastAsia"/>
          <w:color w:val="333333"/>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特事特办、随到随办的采购机制，可不进行招投标程序，缩短采购周期；对</w:t>
      </w:r>
      <w:r>
        <w:rPr>
          <w:rFonts w:hint="eastAsia"/>
          <w:color w:val="333333"/>
        </w:rPr>
        <w:lastRenderedPageBreak/>
        <w:t>于独家代理或生产的仪器设备，按程序确定采取单一来源采购等方式增强采购灵活性和便利性。</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（六）避免重复多头检查。</w:t>
      </w:r>
      <w:r>
        <w:rPr>
          <w:rFonts w:hint="eastAsia"/>
          <w:color w:val="333333"/>
        </w:rPr>
        <w:t>科技部、财政部要会同相关部门加强科研项目监督检查工作统筹，制定统一的年度监督检查计划，在相对集中时间开展联合检查，避免在同一年度对同一项目重复检查、多头检查。探索实行“双随机、一公开”检查方式，充分利用大数据等信息技术提高监督检查效率，实行监督检查结果信息共享和互认，最大限度降低对科研活动的干扰。</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b/>
          <w:bCs/>
          <w:color w:val="333333"/>
        </w:rPr>
        <w:t>二、完善有利于创新的评价激励制度</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（七）切实精简人才“帽子”。</w:t>
      </w:r>
      <w:r>
        <w:rPr>
          <w:rFonts w:hint="eastAsia"/>
          <w:color w:val="333333"/>
        </w:rPr>
        <w:t>在中央人才工作协调小组的领导下，对科技领域人才计划进行优化整合。西部地区因政策倾斜获得人才计划支持的科研人员，在支持周期内离开相关岗位的，取消对其相应支持。开展科技人才计划申报查重工作，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（八）开展“唯论文、唯职称、唯学历”问题集中清理。</w:t>
      </w:r>
      <w:r>
        <w:rPr>
          <w:rFonts w:hint="eastAsia"/>
          <w:color w:val="333333"/>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期限免评的制度。</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（九）加大对承担国家关键领域核心技术攻关任务科研人员的薪酬激励。</w:t>
      </w:r>
      <w:r>
        <w:rPr>
          <w:rFonts w:hint="eastAsia"/>
          <w:color w:val="333333"/>
        </w:rPr>
        <w:t>对全时全职承担任务的团队负责人（领衔科学家/首席科学家、技术总师、型号总师、总指挥、总负责人等）以及引进的高端人才，实行一项一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制具体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b/>
          <w:bCs/>
          <w:color w:val="333333"/>
        </w:rPr>
        <w:t>三、强化科研项目绩效评价</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（十）推动项目管理从重数量、重过程向重质量、重结果转变。</w:t>
      </w:r>
      <w:r>
        <w:rPr>
          <w:rFonts w:hint="eastAsia"/>
          <w:color w:val="333333"/>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（十一）实行科研项目绩效分类评价。</w:t>
      </w:r>
      <w:r>
        <w:rPr>
          <w:rFonts w:hint="eastAsia"/>
          <w:color w:val="333333"/>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（十二）严格依据任务书开展综合绩效评价。</w:t>
      </w:r>
      <w:r>
        <w:rPr>
          <w:rFonts w:hint="eastAsia"/>
          <w:color w:val="333333"/>
        </w:rPr>
        <w:t>强化契约精神，严格按照任务书的约定逐项考核结果指标完成情况，对绩效目标实现程度作出明确结论，不得“走过场”，无正当理由不得延迟验收，应用研究和工程技术研究要突出技术指标刚性要求，严禁成果充抵等弄虚作假行为。突出代表性成果和项目实施效果评价，对提交评价的论文、专利等作出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（十三）加强绩效评价结果的应用。</w:t>
      </w:r>
      <w:r>
        <w:rPr>
          <w:rFonts w:hint="eastAsia"/>
          <w:color w:val="333333"/>
        </w:rPr>
        <w:t>绩效评价结果应作为项目调整、后续支持的重要依据，以及相关研发、管理人员和项目承担单位、项目管理专业机构业绩考核的参考依据。对绩效评价优秀的，在后续项目支持、表彰奖励等工作中给予倾斜。要区分因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b/>
          <w:bCs/>
          <w:color w:val="333333"/>
        </w:rPr>
        <w:t>四、完善分级责任担当机制</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（十四）建立相关部门为高校和科研院所分担责任机制。</w:t>
      </w:r>
      <w:r>
        <w:rPr>
          <w:rFonts w:hint="eastAsia"/>
          <w:color w:val="333333"/>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（十五）强化高校、科研院所和科研人员的主体责任。</w:t>
      </w:r>
      <w:r>
        <w:rPr>
          <w:rFonts w:hint="eastAsia"/>
          <w:color w:val="333333"/>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（十六）完善鼓励法人担当负责的考核激励机制。</w:t>
      </w:r>
      <w:r>
        <w:rPr>
          <w:rFonts w:hint="eastAsia"/>
          <w:color w:val="333333"/>
        </w:rPr>
        <w:t>以科研机构评估为统领，协调推进项目评审、人才评价、机构评估相关工作，形成合力，压实项目承担单位对科研项目和人才的管理责任。主管部门在对所属高校、科研院所开展考核时，</w:t>
      </w:r>
      <w:r>
        <w:rPr>
          <w:rFonts w:hint="eastAsia"/>
          <w:color w:val="333333"/>
        </w:rPr>
        <w:lastRenderedPageBreak/>
        <w:t>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b/>
          <w:bCs/>
          <w:color w:val="333333"/>
        </w:rPr>
        <w:t>五、开展基于绩效、诚信和能力的科研管理改革试点</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color w:val="333333"/>
        </w:rPr>
        <w:t>科技部、财政部会同教育部、中科院在教育部直属高校和中科院所属科研院所中选择部分创新能力和潜力突出、创新绩效显著、科研诚信状况良好的单位开展支持力度更大的“绿色通道”改革试点。</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（十七）开展简化科研项目经费预算编制试点。</w:t>
      </w:r>
      <w:r>
        <w:rPr>
          <w:rFonts w:hint="eastAsia"/>
          <w:color w:val="333333"/>
        </w:rPr>
        <w:t>项目直接费用中除设备费外，其他费用只提供基本测算说明，不提供明细。进一步精简合并其他直接费用科目。各项目管理专业机构要简化相关科研项目预算编制要求，精简说明和报表。</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（十八）开展扩大科研经费使用自主权试点。</w:t>
      </w:r>
      <w:r>
        <w:rPr>
          <w:rFonts w:hint="eastAsia"/>
          <w:color w:val="333333"/>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（十九）开展科研机构分类支持试点。</w:t>
      </w:r>
      <w:r>
        <w:rPr>
          <w:rFonts w:hint="eastAsia"/>
          <w:color w:val="333333"/>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（二十）开展赋予科研人员职务科技成果所有权或长期使用权试点。</w:t>
      </w:r>
      <w:r>
        <w:rPr>
          <w:rFonts w:hint="eastAsia"/>
          <w:color w:val="333333"/>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6F6CAE" w:rsidRDefault="006F6CAE" w:rsidP="006F6CAE">
      <w:pPr>
        <w:pStyle w:val="a7"/>
        <w:shd w:val="clear" w:color="auto" w:fill="FFFFFF"/>
        <w:spacing w:before="0" w:beforeAutospacing="0" w:after="0" w:afterAutospacing="0"/>
        <w:ind w:firstLine="480"/>
        <w:jc w:val="both"/>
        <w:rPr>
          <w:rFonts w:hint="eastAsia"/>
          <w:color w:val="333333"/>
        </w:rPr>
      </w:pPr>
      <w:r>
        <w:rPr>
          <w:rFonts w:hint="eastAsia"/>
          <w:color w:val="333333"/>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rsidR="006F6CAE" w:rsidRDefault="006F6CAE" w:rsidP="006F6CAE">
      <w:pPr>
        <w:pStyle w:val="a7"/>
        <w:shd w:val="clear" w:color="auto" w:fill="FFFFFF"/>
        <w:spacing w:before="0" w:beforeAutospacing="0" w:after="0" w:afterAutospacing="0"/>
        <w:ind w:firstLine="480"/>
        <w:jc w:val="right"/>
        <w:rPr>
          <w:rFonts w:hint="eastAsia"/>
          <w:color w:val="333333"/>
        </w:rPr>
      </w:pPr>
      <w:r>
        <w:rPr>
          <w:rFonts w:hint="eastAsia"/>
          <w:color w:val="333333"/>
        </w:rPr>
        <w:t>国务院</w:t>
      </w:r>
    </w:p>
    <w:p w:rsidR="006F6CAE" w:rsidRDefault="006F6CAE" w:rsidP="006F6CAE">
      <w:pPr>
        <w:pStyle w:val="a7"/>
        <w:shd w:val="clear" w:color="auto" w:fill="FFFFFF"/>
        <w:spacing w:before="0" w:beforeAutospacing="0" w:after="0" w:afterAutospacing="0"/>
        <w:ind w:firstLine="480"/>
        <w:jc w:val="right"/>
        <w:rPr>
          <w:rFonts w:hint="eastAsia"/>
          <w:color w:val="333333"/>
        </w:rPr>
      </w:pPr>
      <w:r>
        <w:rPr>
          <w:rFonts w:hint="eastAsia"/>
          <w:color w:val="333333"/>
        </w:rPr>
        <w:t>2018年7月18</w:t>
      </w:r>
      <w:r>
        <w:rPr>
          <w:rFonts w:hint="eastAsia"/>
          <w:color w:val="333333"/>
        </w:rPr>
        <w:t>日</w:t>
      </w:r>
      <w:bookmarkStart w:id="0" w:name="_GoBack"/>
      <w:bookmarkEnd w:id="0"/>
    </w:p>
    <w:p w:rsidR="00DC5A0F" w:rsidRPr="006F6CAE" w:rsidRDefault="008573AA"/>
    <w:sectPr w:rsidR="00DC5A0F" w:rsidRPr="006F6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AA" w:rsidRDefault="008573AA" w:rsidP="006F6CAE">
      <w:r>
        <w:separator/>
      </w:r>
    </w:p>
  </w:endnote>
  <w:endnote w:type="continuationSeparator" w:id="0">
    <w:p w:rsidR="008573AA" w:rsidRDefault="008573AA" w:rsidP="006F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AA" w:rsidRDefault="008573AA" w:rsidP="006F6CAE">
      <w:r>
        <w:separator/>
      </w:r>
    </w:p>
  </w:footnote>
  <w:footnote w:type="continuationSeparator" w:id="0">
    <w:p w:rsidR="008573AA" w:rsidRDefault="008573AA" w:rsidP="006F6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0B"/>
    <w:rsid w:val="00447D69"/>
    <w:rsid w:val="0062450C"/>
    <w:rsid w:val="006F6CAE"/>
    <w:rsid w:val="008573AA"/>
    <w:rsid w:val="0096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6E831"/>
  <w15:chartTrackingRefBased/>
  <w15:docId w15:val="{F7F470FD-4149-4236-85FA-65D76C71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C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6CAE"/>
    <w:rPr>
      <w:sz w:val="18"/>
      <w:szCs w:val="18"/>
    </w:rPr>
  </w:style>
  <w:style w:type="paragraph" w:styleId="a5">
    <w:name w:val="footer"/>
    <w:basedOn w:val="a"/>
    <w:link w:val="a6"/>
    <w:uiPriority w:val="99"/>
    <w:unhideWhenUsed/>
    <w:rsid w:val="006F6CAE"/>
    <w:pPr>
      <w:tabs>
        <w:tab w:val="center" w:pos="4153"/>
        <w:tab w:val="right" w:pos="8306"/>
      </w:tabs>
      <w:snapToGrid w:val="0"/>
      <w:jc w:val="left"/>
    </w:pPr>
    <w:rPr>
      <w:sz w:val="18"/>
      <w:szCs w:val="18"/>
    </w:rPr>
  </w:style>
  <w:style w:type="character" w:customStyle="1" w:styleId="a6">
    <w:name w:val="页脚 字符"/>
    <w:basedOn w:val="a0"/>
    <w:link w:val="a5"/>
    <w:uiPriority w:val="99"/>
    <w:rsid w:val="006F6CAE"/>
    <w:rPr>
      <w:sz w:val="18"/>
      <w:szCs w:val="18"/>
    </w:rPr>
  </w:style>
  <w:style w:type="paragraph" w:styleId="a7">
    <w:name w:val="Normal (Web)"/>
    <w:basedOn w:val="a"/>
    <w:uiPriority w:val="99"/>
    <w:semiHidden/>
    <w:unhideWhenUsed/>
    <w:rsid w:val="006F6C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31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2019-06-14T01:33:00Z</dcterms:created>
  <dcterms:modified xsi:type="dcterms:W3CDTF">2019-06-14T01:34:00Z</dcterms:modified>
</cp:coreProperties>
</file>